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DD" w:rsidRDefault="00F97FDD" w:rsidP="00F97FDD">
      <w:pPr>
        <w:pStyle w:val="Style"/>
        <w:ind w:right="57"/>
        <w:jc w:val="right"/>
        <w:rPr>
          <w:rFonts w:ascii="Verdana" w:hAnsi="Verdana"/>
          <w:b/>
          <w:color w:val="110C10"/>
          <w:sz w:val="22"/>
          <w:szCs w:val="22"/>
          <w:lang w:bidi="he-IL"/>
        </w:rPr>
      </w:pPr>
      <w:r w:rsidRPr="0095098F">
        <w:rPr>
          <w:rFonts w:ascii="Verdana" w:hAnsi="Verdana"/>
          <w:b/>
          <w:color w:val="110C10"/>
          <w:sz w:val="22"/>
          <w:szCs w:val="22"/>
          <w:lang w:bidi="he-IL"/>
        </w:rPr>
        <w:t>Annexure-X</w:t>
      </w:r>
    </w:p>
    <w:p w:rsidR="00F97FDD" w:rsidRPr="0095098F" w:rsidRDefault="00F97FDD" w:rsidP="00F97FDD">
      <w:pPr>
        <w:pStyle w:val="Style"/>
        <w:ind w:right="57"/>
        <w:jc w:val="right"/>
        <w:rPr>
          <w:rFonts w:ascii="Verdana" w:hAnsi="Verdana"/>
          <w:b/>
          <w:color w:val="110C10"/>
          <w:sz w:val="22"/>
          <w:szCs w:val="22"/>
          <w:lang w:bidi="he-IL"/>
        </w:rPr>
      </w:pPr>
    </w:p>
    <w:p w:rsidR="00F97FDD" w:rsidRPr="0095098F" w:rsidRDefault="00F97FDD" w:rsidP="00F97FDD">
      <w:pPr>
        <w:pStyle w:val="Style"/>
        <w:ind w:right="57"/>
        <w:jc w:val="center"/>
        <w:rPr>
          <w:rFonts w:ascii="Verdana" w:hAnsi="Verdana"/>
          <w:b/>
          <w:color w:val="110C10"/>
          <w:sz w:val="22"/>
          <w:szCs w:val="22"/>
          <w:lang w:bidi="he-IL"/>
        </w:rPr>
      </w:pPr>
      <w:r w:rsidRPr="0095098F">
        <w:rPr>
          <w:rFonts w:ascii="Verdana" w:hAnsi="Verdana"/>
          <w:b/>
          <w:color w:val="110C10"/>
          <w:sz w:val="22"/>
          <w:szCs w:val="22"/>
          <w:lang w:bidi="he-IL"/>
        </w:rPr>
        <w:t xml:space="preserve">Check list of documents for obtaining </w:t>
      </w:r>
      <w:proofErr w:type="gramStart"/>
      <w:r w:rsidRPr="0095098F">
        <w:rPr>
          <w:rFonts w:ascii="Verdana" w:hAnsi="Verdana"/>
          <w:b/>
          <w:color w:val="110C10"/>
          <w:sz w:val="22"/>
          <w:szCs w:val="22"/>
          <w:lang w:bidi="he-IL"/>
        </w:rPr>
        <w:t>I</w:t>
      </w:r>
      <w:r w:rsidRPr="0095098F">
        <w:rPr>
          <w:rFonts w:ascii="Verdana" w:hAnsi="Verdana"/>
          <w:b/>
          <w:color w:val="110C10"/>
          <w:sz w:val="22"/>
          <w:szCs w:val="22"/>
          <w:vertAlign w:val="superscript"/>
          <w:lang w:bidi="he-IL"/>
        </w:rPr>
        <w:t>st</w:t>
      </w:r>
      <w:proofErr w:type="gramEnd"/>
      <w:r w:rsidRPr="0095098F">
        <w:rPr>
          <w:rFonts w:ascii="Verdana" w:hAnsi="Verdana"/>
          <w:b/>
          <w:color w:val="110C10"/>
          <w:sz w:val="22"/>
          <w:szCs w:val="22"/>
          <w:lang w:bidi="he-IL"/>
        </w:rPr>
        <w:t xml:space="preserve"> consent to operate (CTO)</w:t>
      </w:r>
    </w:p>
    <w:p w:rsidR="00F97FDD" w:rsidRPr="0095098F" w:rsidRDefault="00F97FDD" w:rsidP="00F97FDD">
      <w:pPr>
        <w:pStyle w:val="Style"/>
        <w:numPr>
          <w:ilvl w:val="0"/>
          <w:numId w:val="1"/>
        </w:numPr>
        <w:tabs>
          <w:tab w:val="left" w:pos="566"/>
          <w:tab w:val="left" w:pos="945"/>
          <w:tab w:val="left" w:pos="1881"/>
          <w:tab w:val="left" w:pos="3331"/>
          <w:tab w:val="left" w:pos="4627"/>
          <w:tab w:val="left" w:pos="5587"/>
          <w:tab w:val="left" w:pos="6004"/>
        </w:tabs>
        <w:spacing w:before="172"/>
        <w:ind w:left="540" w:right="76" w:hanging="180"/>
        <w:rPr>
          <w:rFonts w:ascii="Verdana" w:hAnsi="Verdana"/>
          <w:b/>
          <w:color w:val="292328"/>
          <w:sz w:val="22"/>
          <w:szCs w:val="22"/>
          <w:lang w:bidi="he-IL"/>
        </w:rPr>
      </w:pPr>
      <w:r w:rsidRPr="0095098F">
        <w:rPr>
          <w:rFonts w:ascii="Verdana" w:hAnsi="Verdana"/>
          <w:b/>
          <w:color w:val="292328"/>
          <w:sz w:val="22"/>
          <w:szCs w:val="22"/>
          <w:lang w:bidi="he-IL"/>
        </w:rPr>
        <w:t>1st Consent to Operate</w:t>
      </w:r>
    </w:p>
    <w:p w:rsidR="00F97FDD" w:rsidRPr="00C03B6E" w:rsidRDefault="00F97FDD" w:rsidP="00F97FDD">
      <w:pPr>
        <w:pStyle w:val="Style"/>
        <w:tabs>
          <w:tab w:val="left" w:pos="566"/>
          <w:tab w:val="left" w:pos="945"/>
          <w:tab w:val="left" w:pos="1881"/>
          <w:tab w:val="left" w:pos="3331"/>
          <w:tab w:val="left" w:pos="4627"/>
          <w:tab w:val="left" w:pos="5587"/>
          <w:tab w:val="left" w:pos="6004"/>
        </w:tabs>
        <w:spacing w:before="172"/>
        <w:ind w:left="540" w:right="76"/>
        <w:rPr>
          <w:rFonts w:ascii="Verdana" w:hAnsi="Verdana"/>
          <w:b/>
          <w:color w:val="292328"/>
          <w:sz w:val="10"/>
          <w:szCs w:val="22"/>
          <w:lang w:bidi="he-IL"/>
        </w:rPr>
      </w:pP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Online consent application.</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Power of attorney/authority letter to sign the application.</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Proof or deposit of required and applicable consent fee, as per schedule available on the web-site </w:t>
      </w:r>
      <w:hyperlink r:id="rId6" w:history="1">
        <w:r w:rsidRPr="0095098F">
          <w:rPr>
            <w:rFonts w:eastAsiaTheme="minorHAnsi"/>
            <w:color w:val="000000"/>
            <w:sz w:val="22"/>
            <w:szCs w:val="22"/>
          </w:rPr>
          <w:t>www.hspcb.gov.in</w:t>
        </w:r>
      </w:hyperlink>
      <w:r w:rsidRPr="0095098F">
        <w:rPr>
          <w:rFonts w:ascii="Verdana" w:eastAsiaTheme="minorHAnsi" w:hAnsi="Verdana"/>
          <w:color w:val="000000"/>
          <w:sz w:val="22"/>
          <w:szCs w:val="22"/>
        </w:rPr>
        <w:t xml:space="preserve">. </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Collection and testing fee prescribed by the Board as per schedule available on the web-site of the Board, for </w:t>
      </w:r>
      <w:proofErr w:type="spellStart"/>
      <w:r w:rsidRPr="0095098F">
        <w:rPr>
          <w:rFonts w:ascii="Verdana" w:eastAsiaTheme="minorHAnsi" w:hAnsi="Verdana"/>
          <w:color w:val="000000"/>
          <w:sz w:val="22"/>
          <w:szCs w:val="22"/>
        </w:rPr>
        <w:t>analysing</w:t>
      </w:r>
      <w:proofErr w:type="spellEnd"/>
      <w:r w:rsidRPr="0095098F">
        <w:rPr>
          <w:rFonts w:ascii="Verdana" w:eastAsiaTheme="minorHAnsi" w:hAnsi="Verdana"/>
          <w:color w:val="000000"/>
          <w:sz w:val="22"/>
          <w:szCs w:val="22"/>
        </w:rPr>
        <w:t xml:space="preserve"> the samples of effluent/ Air emissions/ Noise level of DG sets, as applicable, for all sources. (Analysis report of air emissions from all sources including diesel engines of capacity more than 0.8MW (800kW) for power plants and generator sets will be required). </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Copy of balance sheet duly attested by CA or CA certificate w.r.t. capital investment cost of the unit for the preceding year. (Capital investment cost should include the original cost of land, building, plant &amp; machinery without depreciation but with </w:t>
      </w:r>
      <w:proofErr w:type="spellStart"/>
      <w:r w:rsidRPr="0095098F">
        <w:rPr>
          <w:rFonts w:ascii="Verdana" w:eastAsiaTheme="minorHAnsi" w:hAnsi="Verdana"/>
          <w:color w:val="000000"/>
          <w:sz w:val="22"/>
          <w:szCs w:val="22"/>
        </w:rPr>
        <w:t>upto</w:t>
      </w:r>
      <w:proofErr w:type="spellEnd"/>
      <w:r w:rsidRPr="0095098F">
        <w:rPr>
          <w:rFonts w:ascii="Verdana" w:eastAsiaTheme="minorHAnsi" w:hAnsi="Verdana"/>
          <w:color w:val="000000"/>
          <w:sz w:val="22"/>
          <w:szCs w:val="22"/>
        </w:rPr>
        <w:t xml:space="preserve"> date additions. The cost of land and building should be included in the capital investment cost even if it is on lease or rent or mortgage). </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MOA / partnership Deed / Trust Deed (if changed). </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Layout plan showing the details of all manufacturing processes, location of stacks/ chimneys, ETP/ STP, APCM, Hazardous Waste storage and treatment facilities, tube wells, Water supply lines, Effluent drains and final outlets for the disposal of the effluent.</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Permission of the concerned authorities for disposal of the effluent in to sewer/drain etc.</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Detail of land in case the effluent is discharged on land for percolation or for irrigation along with copy of registered agreement made with the land owners in case the land belong to the persons other </w:t>
      </w:r>
      <w:proofErr w:type="spellStart"/>
      <w:r w:rsidRPr="0095098F">
        <w:rPr>
          <w:rFonts w:ascii="Verdana" w:eastAsiaTheme="minorHAnsi" w:hAnsi="Verdana"/>
          <w:color w:val="000000"/>
          <w:sz w:val="22"/>
          <w:szCs w:val="22"/>
        </w:rPr>
        <w:t>then</w:t>
      </w:r>
      <w:proofErr w:type="spellEnd"/>
      <w:r w:rsidRPr="0095098F">
        <w:rPr>
          <w:rFonts w:ascii="Verdana" w:eastAsiaTheme="minorHAnsi" w:hAnsi="Verdana"/>
          <w:color w:val="000000"/>
          <w:sz w:val="22"/>
          <w:szCs w:val="22"/>
        </w:rPr>
        <w:t xml:space="preserve"> the land of the applicant unit.</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Detail of ETP/STP, APCM, </w:t>
      </w:r>
      <w:proofErr w:type="gramStart"/>
      <w:r w:rsidRPr="0095098F">
        <w:rPr>
          <w:rFonts w:ascii="Verdana" w:eastAsiaTheme="minorHAnsi" w:hAnsi="Verdana"/>
          <w:color w:val="000000"/>
          <w:sz w:val="22"/>
          <w:szCs w:val="22"/>
        </w:rPr>
        <w:t>acoustic</w:t>
      </w:r>
      <w:proofErr w:type="gramEnd"/>
      <w:r w:rsidRPr="0095098F">
        <w:rPr>
          <w:rFonts w:ascii="Verdana" w:eastAsiaTheme="minorHAnsi" w:hAnsi="Verdana"/>
          <w:color w:val="000000"/>
          <w:sz w:val="22"/>
          <w:szCs w:val="22"/>
        </w:rPr>
        <w:t xml:space="preserve"> enclosure, Hazardous Waste Management Facilities installed in the unit along with their size, specification and capacity.</w:t>
      </w:r>
    </w:p>
    <w:p w:rsidR="00F97FDD" w:rsidRPr="0095098F" w:rsidRDefault="00F97FDD" w:rsidP="00F97FDD">
      <w:pPr>
        <w:pStyle w:val="Style"/>
        <w:numPr>
          <w:ilvl w:val="0"/>
          <w:numId w:val="2"/>
        </w:numPr>
        <w:tabs>
          <w:tab w:val="left" w:pos="566"/>
          <w:tab w:val="left" w:pos="945"/>
          <w:tab w:val="left" w:pos="1881"/>
          <w:tab w:val="left" w:pos="3331"/>
          <w:tab w:val="left" w:pos="4627"/>
          <w:tab w:val="left" w:pos="5587"/>
          <w:tab w:val="left" w:pos="6004"/>
        </w:tabs>
        <w:ind w:left="900" w:right="76" w:hanging="450"/>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In case of industries/projects/establishments handling Hazardous Chemicals having threshold quantities mentioned in schedule II and III of MSIHC, Rules, 1989 and covered under rule 10 &amp; 13 of these Rules, proof of submission of safety audit report duly audited with the help of an expert, </w:t>
      </w:r>
      <w:proofErr w:type="spellStart"/>
      <w:r w:rsidRPr="0095098F">
        <w:rPr>
          <w:rFonts w:ascii="Verdana" w:eastAsiaTheme="minorHAnsi" w:hAnsi="Verdana"/>
          <w:color w:val="000000"/>
          <w:sz w:val="22"/>
          <w:szCs w:val="22"/>
        </w:rPr>
        <w:t>atleast</w:t>
      </w:r>
      <w:proofErr w:type="spellEnd"/>
      <w:r w:rsidRPr="0095098F">
        <w:rPr>
          <w:rFonts w:ascii="Verdana" w:eastAsiaTheme="minorHAnsi" w:hAnsi="Verdana"/>
          <w:color w:val="000000"/>
          <w:sz w:val="22"/>
          <w:szCs w:val="22"/>
        </w:rPr>
        <w:t xml:space="preserve"> 90 days before commencing the activity and onsite emergency plan </w:t>
      </w:r>
      <w:proofErr w:type="spellStart"/>
      <w:r w:rsidRPr="0095098F">
        <w:rPr>
          <w:rFonts w:ascii="Verdana" w:eastAsiaTheme="minorHAnsi" w:hAnsi="Verdana"/>
          <w:color w:val="000000"/>
          <w:sz w:val="22"/>
          <w:szCs w:val="22"/>
        </w:rPr>
        <w:t>alongwith</w:t>
      </w:r>
      <w:proofErr w:type="spellEnd"/>
      <w:r w:rsidRPr="0095098F">
        <w:rPr>
          <w:rFonts w:ascii="Verdana" w:eastAsiaTheme="minorHAnsi" w:hAnsi="Verdana"/>
          <w:color w:val="000000"/>
          <w:sz w:val="22"/>
          <w:szCs w:val="22"/>
        </w:rPr>
        <w:t xml:space="preserve"> report of the mock drill of the same to Chief Inspector of Factories </w:t>
      </w:r>
      <w:proofErr w:type="spellStart"/>
      <w:r w:rsidRPr="0095098F">
        <w:rPr>
          <w:rFonts w:ascii="Verdana" w:eastAsiaTheme="minorHAnsi" w:hAnsi="Verdana"/>
          <w:color w:val="000000"/>
          <w:sz w:val="22"/>
          <w:szCs w:val="22"/>
        </w:rPr>
        <w:t>alongwith</w:t>
      </w:r>
      <w:proofErr w:type="spellEnd"/>
      <w:r w:rsidRPr="0095098F">
        <w:rPr>
          <w:rFonts w:ascii="Verdana" w:eastAsiaTheme="minorHAnsi" w:hAnsi="Verdana"/>
          <w:color w:val="000000"/>
          <w:sz w:val="22"/>
          <w:szCs w:val="22"/>
        </w:rPr>
        <w:t xml:space="preserve"> copy of the same. (Required as per instructions of MOEF &amp; CC issued vide letter No. 14-7(382)/2010-HSMD dated 09.03.2016).</w:t>
      </w:r>
    </w:p>
    <w:p w:rsidR="00F97FDD" w:rsidRDefault="00F97FDD" w:rsidP="00F97FDD">
      <w:pPr>
        <w:pStyle w:val="Style"/>
        <w:numPr>
          <w:ilvl w:val="0"/>
          <w:numId w:val="2"/>
        </w:numPr>
        <w:tabs>
          <w:tab w:val="left" w:pos="566"/>
          <w:tab w:val="left" w:pos="945"/>
          <w:tab w:val="left" w:pos="1881"/>
          <w:tab w:val="left" w:pos="3331"/>
          <w:tab w:val="left" w:pos="4627"/>
          <w:tab w:val="left" w:pos="5587"/>
          <w:tab w:val="left" w:pos="6004"/>
        </w:tabs>
        <w:spacing w:after="240"/>
        <w:ind w:left="900" w:right="76" w:hanging="450"/>
        <w:jc w:val="both"/>
        <w:rPr>
          <w:rFonts w:ascii="Verdana" w:hAnsi="Verdana"/>
          <w:color w:val="261D27"/>
          <w:w w:val="116"/>
          <w:sz w:val="22"/>
          <w:szCs w:val="22"/>
        </w:rPr>
      </w:pPr>
      <w:r w:rsidRPr="0095098F">
        <w:rPr>
          <w:rFonts w:ascii="Verdana" w:eastAsiaTheme="minorHAnsi" w:hAnsi="Verdana"/>
          <w:color w:val="000000"/>
          <w:sz w:val="22"/>
          <w:szCs w:val="22"/>
        </w:rPr>
        <w:t>Occupation certificate issued by Town &amp; Country Planning Department, in case of Building &amp; construction projects/area development projects</w:t>
      </w:r>
      <w:r w:rsidRPr="0095098F">
        <w:rPr>
          <w:rFonts w:ascii="Verdana" w:hAnsi="Verdana"/>
          <w:color w:val="261D27"/>
          <w:w w:val="116"/>
          <w:sz w:val="22"/>
          <w:szCs w:val="22"/>
        </w:rPr>
        <w:t>.</w:t>
      </w:r>
    </w:p>
    <w:p w:rsidR="00F97FDD" w:rsidRPr="0095098F" w:rsidRDefault="00F97FDD" w:rsidP="00F97FDD">
      <w:pPr>
        <w:pStyle w:val="Style"/>
        <w:tabs>
          <w:tab w:val="left" w:pos="566"/>
          <w:tab w:val="left" w:pos="945"/>
          <w:tab w:val="left" w:pos="1881"/>
          <w:tab w:val="left" w:pos="3331"/>
          <w:tab w:val="left" w:pos="4627"/>
          <w:tab w:val="left" w:pos="5587"/>
          <w:tab w:val="left" w:pos="6004"/>
        </w:tabs>
        <w:spacing w:after="240"/>
        <w:ind w:left="900" w:right="76"/>
        <w:jc w:val="both"/>
        <w:rPr>
          <w:rFonts w:ascii="Verdana" w:hAnsi="Verdana"/>
          <w:color w:val="261D27"/>
          <w:w w:val="116"/>
          <w:sz w:val="22"/>
          <w:szCs w:val="22"/>
        </w:rPr>
      </w:pPr>
    </w:p>
    <w:p w:rsidR="00F97FDD" w:rsidRPr="0095098F" w:rsidRDefault="00F97FDD" w:rsidP="00F97FDD">
      <w:pPr>
        <w:pStyle w:val="ListParagraph"/>
        <w:numPr>
          <w:ilvl w:val="0"/>
          <w:numId w:val="1"/>
        </w:numPr>
        <w:rPr>
          <w:rFonts w:ascii="Verdana" w:hAnsi="Verdana"/>
          <w:b/>
          <w:sz w:val="22"/>
          <w:szCs w:val="22"/>
        </w:rPr>
      </w:pPr>
      <w:r w:rsidRPr="0095098F">
        <w:rPr>
          <w:rFonts w:ascii="Verdana" w:hAnsi="Verdana"/>
          <w:b/>
          <w:sz w:val="22"/>
          <w:szCs w:val="22"/>
        </w:rPr>
        <w:t>Renewal of consent to operate</w:t>
      </w:r>
    </w:p>
    <w:p w:rsidR="00F97FDD" w:rsidRPr="0095098F" w:rsidRDefault="00F97FDD" w:rsidP="00F97FDD">
      <w:pPr>
        <w:pStyle w:val="ListParagraph"/>
        <w:spacing w:after="0"/>
        <w:jc w:val="both"/>
        <w:rPr>
          <w:rFonts w:ascii="Verdana" w:hAnsi="Verdana"/>
          <w:b/>
          <w:sz w:val="22"/>
          <w:szCs w:val="22"/>
        </w:rPr>
      </w:pPr>
    </w:p>
    <w:p w:rsidR="00F97FDD" w:rsidRPr="0095098F" w:rsidRDefault="00F97FDD" w:rsidP="00F97FDD">
      <w:pPr>
        <w:pStyle w:val="ListParagraph"/>
        <w:numPr>
          <w:ilvl w:val="0"/>
          <w:numId w:val="3"/>
        </w:numPr>
        <w:spacing w:after="0"/>
        <w:ind w:left="993" w:hanging="426"/>
        <w:jc w:val="both"/>
        <w:rPr>
          <w:rFonts w:ascii="Verdana" w:hAnsi="Verdana"/>
          <w:sz w:val="22"/>
          <w:szCs w:val="22"/>
        </w:rPr>
      </w:pPr>
      <w:r w:rsidRPr="0095098F">
        <w:rPr>
          <w:rFonts w:ascii="Verdana" w:hAnsi="Verdana"/>
          <w:sz w:val="22"/>
          <w:szCs w:val="22"/>
        </w:rPr>
        <w:lastRenderedPageBreak/>
        <w:t>Online application for renewal of CTO on prescribed Performa (Annexure-XI).</w:t>
      </w:r>
    </w:p>
    <w:p w:rsidR="00F97FDD" w:rsidRPr="0095098F" w:rsidRDefault="00F97FDD" w:rsidP="00F97FDD">
      <w:pPr>
        <w:pStyle w:val="ListParagraph"/>
        <w:numPr>
          <w:ilvl w:val="0"/>
          <w:numId w:val="3"/>
        </w:numPr>
        <w:spacing w:after="0"/>
        <w:ind w:left="993" w:hanging="426"/>
        <w:jc w:val="both"/>
        <w:rPr>
          <w:rFonts w:ascii="Verdana" w:hAnsi="Verdana"/>
          <w:sz w:val="22"/>
          <w:szCs w:val="22"/>
        </w:rPr>
      </w:pPr>
      <w:r w:rsidRPr="0095098F">
        <w:rPr>
          <w:rFonts w:ascii="Verdana" w:hAnsi="Verdana"/>
          <w:sz w:val="22"/>
          <w:szCs w:val="22"/>
        </w:rPr>
        <w:t xml:space="preserve">Proof of deposit of required and applicable consent fee (as per schedule available on the web-site </w:t>
      </w:r>
      <w:hyperlink r:id="rId7" w:history="1">
        <w:r w:rsidRPr="0095098F">
          <w:rPr>
            <w:rFonts w:ascii="Verdana" w:hAnsi="Verdana"/>
            <w:sz w:val="22"/>
            <w:szCs w:val="22"/>
          </w:rPr>
          <w:t>www.hspcb.gov.in</w:t>
        </w:r>
      </w:hyperlink>
      <w:r w:rsidRPr="0095098F">
        <w:rPr>
          <w:rFonts w:ascii="Verdana" w:hAnsi="Verdana"/>
          <w:sz w:val="22"/>
          <w:szCs w:val="22"/>
        </w:rPr>
        <w:t xml:space="preserve">). </w:t>
      </w:r>
    </w:p>
    <w:p w:rsidR="00F97FDD" w:rsidRPr="0095098F" w:rsidRDefault="00F97FDD" w:rsidP="00F97FDD">
      <w:pPr>
        <w:pStyle w:val="ListParagraph"/>
        <w:numPr>
          <w:ilvl w:val="0"/>
          <w:numId w:val="3"/>
        </w:numPr>
        <w:spacing w:after="0"/>
        <w:ind w:left="993" w:hanging="426"/>
        <w:jc w:val="both"/>
        <w:rPr>
          <w:rFonts w:ascii="Verdana" w:hAnsi="Verdana"/>
          <w:sz w:val="22"/>
          <w:szCs w:val="22"/>
        </w:rPr>
      </w:pPr>
      <w:r w:rsidRPr="0095098F">
        <w:rPr>
          <w:rFonts w:ascii="Verdana" w:hAnsi="Verdana"/>
          <w:sz w:val="22"/>
          <w:szCs w:val="22"/>
        </w:rPr>
        <w:t>Copy of previous CTO.</w:t>
      </w:r>
    </w:p>
    <w:p w:rsidR="00F97FDD" w:rsidRPr="0095098F" w:rsidRDefault="00F97FDD" w:rsidP="00F97FDD">
      <w:pPr>
        <w:pStyle w:val="ListParagraph"/>
        <w:numPr>
          <w:ilvl w:val="0"/>
          <w:numId w:val="3"/>
        </w:numPr>
        <w:spacing w:after="0"/>
        <w:ind w:left="993" w:hanging="426"/>
        <w:jc w:val="both"/>
        <w:rPr>
          <w:rFonts w:ascii="Verdana" w:hAnsi="Verdana"/>
          <w:sz w:val="22"/>
          <w:szCs w:val="22"/>
        </w:rPr>
      </w:pPr>
      <w:r w:rsidRPr="0095098F">
        <w:rPr>
          <w:rFonts w:ascii="Verdana" w:hAnsi="Verdana"/>
          <w:sz w:val="22"/>
          <w:szCs w:val="22"/>
        </w:rPr>
        <w:t>Power of attorney/authority letter to sign the application.</w:t>
      </w:r>
    </w:p>
    <w:p w:rsidR="00F97FDD" w:rsidRPr="0095098F" w:rsidRDefault="00F97FDD" w:rsidP="00F97FDD">
      <w:pPr>
        <w:pStyle w:val="ListParagraph"/>
        <w:numPr>
          <w:ilvl w:val="0"/>
          <w:numId w:val="3"/>
        </w:numPr>
        <w:spacing w:after="0"/>
        <w:ind w:left="993" w:hanging="426"/>
        <w:jc w:val="both"/>
        <w:rPr>
          <w:rFonts w:ascii="Verdana" w:hAnsi="Verdana"/>
          <w:sz w:val="22"/>
          <w:szCs w:val="22"/>
        </w:rPr>
      </w:pPr>
      <w:r w:rsidRPr="0095098F">
        <w:rPr>
          <w:rFonts w:ascii="Verdana" w:hAnsi="Verdana"/>
          <w:sz w:val="22"/>
          <w:szCs w:val="22"/>
        </w:rPr>
        <w:t xml:space="preserve">Copy of balance sheet duly attested by CA or CA certificate w.r.t. capital investment cost of the unit for the preceding year. (Capital investment cost should include the original cost of land, building, plant &amp; machinery without depreciation but with </w:t>
      </w:r>
      <w:proofErr w:type="spellStart"/>
      <w:r w:rsidRPr="0095098F">
        <w:rPr>
          <w:rFonts w:ascii="Verdana" w:hAnsi="Verdana"/>
          <w:sz w:val="22"/>
          <w:szCs w:val="22"/>
        </w:rPr>
        <w:t>upto</w:t>
      </w:r>
      <w:proofErr w:type="spellEnd"/>
      <w:r w:rsidRPr="0095098F">
        <w:rPr>
          <w:rFonts w:ascii="Verdana" w:hAnsi="Verdana"/>
          <w:sz w:val="22"/>
          <w:szCs w:val="22"/>
        </w:rPr>
        <w:t xml:space="preserve"> date additions. The cost of land and building should be included in the capital investment cost even if it is on lease or rent or mortgage).</w:t>
      </w:r>
    </w:p>
    <w:p w:rsidR="00F97FDD" w:rsidRPr="0095098F" w:rsidRDefault="00F97FDD" w:rsidP="00F97FDD">
      <w:pPr>
        <w:pStyle w:val="ListParagraph"/>
        <w:numPr>
          <w:ilvl w:val="0"/>
          <w:numId w:val="3"/>
        </w:numPr>
        <w:spacing w:after="0"/>
        <w:ind w:left="993" w:hanging="426"/>
        <w:jc w:val="both"/>
        <w:rPr>
          <w:rFonts w:ascii="Verdana" w:hAnsi="Verdana"/>
          <w:sz w:val="22"/>
          <w:szCs w:val="22"/>
        </w:rPr>
      </w:pPr>
      <w:r w:rsidRPr="0095098F">
        <w:rPr>
          <w:rFonts w:ascii="Verdana" w:hAnsi="Verdana"/>
          <w:sz w:val="22"/>
          <w:szCs w:val="22"/>
        </w:rPr>
        <w:t>Latest inspection report and analysis reports of effluent/ air emissions/ noise conducted by Board officer (s) for the mandatory inspection, if conducted.</w:t>
      </w:r>
    </w:p>
    <w:p w:rsidR="00F97FDD" w:rsidRPr="0095098F" w:rsidRDefault="00F97FDD" w:rsidP="00F97FDD">
      <w:pPr>
        <w:pStyle w:val="ListParagraph"/>
        <w:numPr>
          <w:ilvl w:val="0"/>
          <w:numId w:val="3"/>
        </w:numPr>
        <w:spacing w:after="0"/>
        <w:ind w:left="993" w:hanging="426"/>
        <w:jc w:val="both"/>
        <w:rPr>
          <w:rFonts w:ascii="Verdana" w:hAnsi="Verdana"/>
          <w:sz w:val="22"/>
          <w:szCs w:val="22"/>
        </w:rPr>
      </w:pPr>
      <w:r w:rsidRPr="0095098F">
        <w:rPr>
          <w:rFonts w:ascii="Verdana" w:hAnsi="Verdana"/>
          <w:sz w:val="22"/>
          <w:szCs w:val="22"/>
        </w:rPr>
        <w:t>Copy of fresh analysis reports of effluent/air emissions/ noise analyzed from Board's lab/recognized lab. (not more than 03 months old)</w:t>
      </w:r>
    </w:p>
    <w:p w:rsidR="00F97FDD" w:rsidRPr="002679B3" w:rsidRDefault="00F97FDD" w:rsidP="00F97FDD">
      <w:pPr>
        <w:pStyle w:val="ListParagraph"/>
        <w:numPr>
          <w:ilvl w:val="0"/>
          <w:numId w:val="3"/>
        </w:numPr>
        <w:spacing w:after="0"/>
        <w:ind w:left="993" w:hanging="426"/>
        <w:jc w:val="both"/>
        <w:rPr>
          <w:rFonts w:ascii="Verdana" w:hAnsi="Verdana"/>
          <w:sz w:val="22"/>
          <w:szCs w:val="22"/>
        </w:rPr>
      </w:pPr>
      <w:r w:rsidRPr="002679B3">
        <w:rPr>
          <w:rFonts w:ascii="Verdana" w:hAnsi="Verdana"/>
          <w:sz w:val="22"/>
          <w:szCs w:val="22"/>
        </w:rPr>
        <w:t>Environment Statement in Form V for the financial year ending on 31</w:t>
      </w:r>
      <w:r w:rsidRPr="002679B3">
        <w:rPr>
          <w:rFonts w:ascii="Verdana" w:hAnsi="Verdana"/>
          <w:sz w:val="22"/>
          <w:szCs w:val="22"/>
          <w:vertAlign w:val="superscript"/>
        </w:rPr>
        <w:t>st</w:t>
      </w:r>
      <w:r w:rsidRPr="002679B3">
        <w:rPr>
          <w:rFonts w:ascii="Verdana" w:hAnsi="Verdana"/>
          <w:sz w:val="22"/>
          <w:szCs w:val="22"/>
        </w:rPr>
        <w:t xml:space="preserve"> March (required in compliance of Rule 14 of EP Rules, 1986).</w:t>
      </w:r>
    </w:p>
    <w:p w:rsidR="00F97FDD" w:rsidRPr="0095098F" w:rsidRDefault="00F97FDD" w:rsidP="00F97FDD">
      <w:pPr>
        <w:pStyle w:val="ListParagraph"/>
        <w:numPr>
          <w:ilvl w:val="0"/>
          <w:numId w:val="3"/>
        </w:numPr>
        <w:spacing w:after="0"/>
        <w:ind w:left="993" w:hanging="426"/>
        <w:jc w:val="both"/>
        <w:rPr>
          <w:rFonts w:ascii="Verdana" w:hAnsi="Verdana"/>
          <w:sz w:val="22"/>
          <w:szCs w:val="22"/>
        </w:rPr>
      </w:pPr>
      <w:r w:rsidRPr="0095098F">
        <w:rPr>
          <w:rFonts w:ascii="Verdana" w:hAnsi="Verdana"/>
          <w:sz w:val="22"/>
          <w:szCs w:val="22"/>
        </w:rPr>
        <w:t xml:space="preserve">In case of industries/projects/establishments handling Hazardous Chemicals having threshold quantities mentioned in schedule II and III of MSIHC, Rules, 1989 and covered under rule 10 &amp; 13 of these Rules, proof of submission of updated safety audit report duly audited with the help of an expert, annually and up to date onsite emergency plan </w:t>
      </w:r>
      <w:proofErr w:type="spellStart"/>
      <w:r w:rsidRPr="0095098F">
        <w:rPr>
          <w:rFonts w:ascii="Verdana" w:hAnsi="Verdana"/>
          <w:sz w:val="22"/>
          <w:szCs w:val="22"/>
        </w:rPr>
        <w:t>alongwith</w:t>
      </w:r>
      <w:proofErr w:type="spellEnd"/>
      <w:r w:rsidRPr="0095098F">
        <w:rPr>
          <w:rFonts w:ascii="Verdana" w:hAnsi="Verdana"/>
          <w:sz w:val="22"/>
          <w:szCs w:val="22"/>
        </w:rPr>
        <w:t xml:space="preserve"> report of the mock drill of the same to Chief Inspector of Factories </w:t>
      </w:r>
      <w:proofErr w:type="spellStart"/>
      <w:r w:rsidRPr="0095098F">
        <w:rPr>
          <w:rFonts w:ascii="Verdana" w:hAnsi="Verdana"/>
          <w:sz w:val="22"/>
          <w:szCs w:val="22"/>
        </w:rPr>
        <w:t>alongwith</w:t>
      </w:r>
      <w:proofErr w:type="spellEnd"/>
      <w:r w:rsidRPr="0095098F">
        <w:rPr>
          <w:rFonts w:ascii="Verdana" w:hAnsi="Verdana"/>
          <w:sz w:val="22"/>
          <w:szCs w:val="22"/>
        </w:rPr>
        <w:t xml:space="preserve"> copy of the same, (Required as per instructions of MOEF &amp; CC issued vide letter No. 14-7(382)/2010-HSMD dated 09.03.2016).</w:t>
      </w:r>
    </w:p>
    <w:p w:rsidR="00F97FDD" w:rsidRPr="0095098F" w:rsidRDefault="00F97FDD" w:rsidP="00F97FDD">
      <w:pPr>
        <w:pStyle w:val="Style"/>
        <w:numPr>
          <w:ilvl w:val="0"/>
          <w:numId w:val="3"/>
        </w:numPr>
        <w:tabs>
          <w:tab w:val="left" w:pos="566"/>
          <w:tab w:val="left" w:pos="945"/>
          <w:tab w:val="left" w:pos="1881"/>
          <w:tab w:val="left" w:pos="3331"/>
          <w:tab w:val="left" w:pos="4627"/>
          <w:tab w:val="left" w:pos="5587"/>
          <w:tab w:val="left" w:pos="6004"/>
        </w:tabs>
        <w:ind w:left="993" w:right="76" w:hanging="42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Permission of the concerned authorities for disposal of the effluent in to sewer/drains </w:t>
      </w:r>
      <w:proofErr w:type="spellStart"/>
      <w:r w:rsidRPr="0095098F">
        <w:rPr>
          <w:rFonts w:ascii="Verdana" w:eastAsiaTheme="minorHAnsi" w:hAnsi="Verdana"/>
          <w:color w:val="000000"/>
          <w:sz w:val="22"/>
          <w:szCs w:val="22"/>
        </w:rPr>
        <w:t>etc</w:t>
      </w:r>
      <w:proofErr w:type="spellEnd"/>
      <w:r w:rsidRPr="0095098F">
        <w:rPr>
          <w:rFonts w:ascii="Verdana" w:eastAsiaTheme="minorHAnsi" w:hAnsi="Verdana"/>
          <w:color w:val="000000"/>
          <w:sz w:val="22"/>
          <w:szCs w:val="22"/>
        </w:rPr>
        <w:t xml:space="preserve"> (in case not submitted earlier).</w:t>
      </w:r>
    </w:p>
    <w:p w:rsidR="00F97FDD" w:rsidRPr="0095098F" w:rsidRDefault="00F97FDD" w:rsidP="00F97FDD">
      <w:pPr>
        <w:pStyle w:val="Style"/>
        <w:numPr>
          <w:ilvl w:val="0"/>
          <w:numId w:val="3"/>
        </w:numPr>
        <w:tabs>
          <w:tab w:val="left" w:pos="566"/>
          <w:tab w:val="left" w:pos="945"/>
          <w:tab w:val="left" w:pos="1881"/>
          <w:tab w:val="left" w:pos="3331"/>
          <w:tab w:val="left" w:pos="4627"/>
          <w:tab w:val="left" w:pos="5587"/>
          <w:tab w:val="left" w:pos="6004"/>
        </w:tabs>
        <w:ind w:left="993" w:right="76" w:hanging="42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Detail of land in case the effluent is discharged on land for percolation or for irrigation along with copy of registered agreement made with the land owners in case the land belong to the persons other </w:t>
      </w:r>
      <w:proofErr w:type="spellStart"/>
      <w:r w:rsidRPr="0095098F">
        <w:rPr>
          <w:rFonts w:ascii="Verdana" w:eastAsiaTheme="minorHAnsi" w:hAnsi="Verdana"/>
          <w:color w:val="000000"/>
          <w:sz w:val="22"/>
          <w:szCs w:val="22"/>
        </w:rPr>
        <w:t>then</w:t>
      </w:r>
      <w:proofErr w:type="spellEnd"/>
      <w:r w:rsidRPr="0095098F">
        <w:rPr>
          <w:rFonts w:ascii="Verdana" w:eastAsiaTheme="minorHAnsi" w:hAnsi="Verdana"/>
          <w:color w:val="000000"/>
          <w:sz w:val="22"/>
          <w:szCs w:val="22"/>
        </w:rPr>
        <w:t xml:space="preserve"> the land of the applicant unit (in case not submitted earlier).</w:t>
      </w:r>
    </w:p>
    <w:p w:rsidR="00F97FDD" w:rsidRPr="0095098F" w:rsidRDefault="00F97FDD" w:rsidP="00F97FDD">
      <w:pPr>
        <w:pStyle w:val="Style"/>
        <w:numPr>
          <w:ilvl w:val="0"/>
          <w:numId w:val="3"/>
        </w:numPr>
        <w:tabs>
          <w:tab w:val="left" w:pos="566"/>
          <w:tab w:val="left" w:pos="945"/>
          <w:tab w:val="left" w:pos="1881"/>
          <w:tab w:val="left" w:pos="3331"/>
          <w:tab w:val="left" w:pos="4627"/>
          <w:tab w:val="left" w:pos="5587"/>
          <w:tab w:val="left" w:pos="6004"/>
        </w:tabs>
        <w:ind w:left="993" w:right="76" w:hanging="426"/>
        <w:jc w:val="both"/>
        <w:rPr>
          <w:rFonts w:ascii="Verdana" w:hAnsi="Verdana"/>
          <w:color w:val="292328"/>
          <w:sz w:val="22"/>
          <w:szCs w:val="22"/>
          <w:lang w:bidi="he-IL"/>
        </w:rPr>
      </w:pPr>
      <w:r w:rsidRPr="0095098F">
        <w:rPr>
          <w:rFonts w:ascii="Verdana" w:eastAsiaTheme="minorHAnsi" w:hAnsi="Verdana"/>
          <w:color w:val="000000"/>
          <w:sz w:val="22"/>
          <w:szCs w:val="22"/>
        </w:rPr>
        <w:t xml:space="preserve">Copy of logbook for last 03 months maintained for operation of ETP/STP/APCM for the record of energy and chemical consumption, quantity of effluent at inlet and outlet of ETP/STP supported with readings of magnetic flow meters </w:t>
      </w:r>
      <w:proofErr w:type="spellStart"/>
      <w:r w:rsidRPr="0095098F">
        <w:rPr>
          <w:rFonts w:ascii="Verdana" w:eastAsiaTheme="minorHAnsi" w:hAnsi="Verdana"/>
          <w:color w:val="000000"/>
          <w:sz w:val="22"/>
          <w:szCs w:val="22"/>
        </w:rPr>
        <w:t>alongwith</w:t>
      </w:r>
      <w:proofErr w:type="spellEnd"/>
      <w:r w:rsidRPr="0095098F">
        <w:rPr>
          <w:rFonts w:ascii="Verdana" w:eastAsiaTheme="minorHAnsi" w:hAnsi="Verdana"/>
          <w:color w:val="000000"/>
          <w:sz w:val="22"/>
          <w:szCs w:val="22"/>
        </w:rPr>
        <w:t xml:space="preserve"> quantity of treated effluent recycled/reused in the process, utilized in the premises and discharged, mode of disposal</w:t>
      </w:r>
      <w:r w:rsidRPr="0095098F">
        <w:rPr>
          <w:rFonts w:ascii="Verdana" w:hAnsi="Verdana"/>
          <w:color w:val="261D27"/>
          <w:w w:val="116"/>
          <w:sz w:val="22"/>
          <w:szCs w:val="22"/>
        </w:rPr>
        <w:t xml:space="preserve">. </w:t>
      </w:r>
    </w:p>
    <w:p w:rsidR="00F97FDD" w:rsidRPr="0095098F" w:rsidRDefault="00F97FDD" w:rsidP="00F97FDD">
      <w:pPr>
        <w:pStyle w:val="ListParagraph"/>
        <w:spacing w:after="0"/>
        <w:ind w:left="990"/>
        <w:jc w:val="both"/>
        <w:rPr>
          <w:rFonts w:ascii="Verdana" w:hAnsi="Verdana"/>
          <w:sz w:val="22"/>
          <w:szCs w:val="22"/>
        </w:rPr>
      </w:pPr>
    </w:p>
    <w:p w:rsidR="002A2C66" w:rsidRDefault="002A2C66" w:rsidP="002A2C66">
      <w:pPr>
        <w:pStyle w:val="ListParagraph"/>
        <w:spacing w:after="0"/>
        <w:ind w:left="810"/>
        <w:jc w:val="right"/>
        <w:rPr>
          <w:rFonts w:ascii="Verdana" w:hAnsi="Verdana"/>
          <w:b/>
          <w:sz w:val="22"/>
          <w:szCs w:val="22"/>
        </w:rPr>
      </w:pPr>
    </w:p>
    <w:p w:rsidR="002A2C66" w:rsidRDefault="002A2C66" w:rsidP="002A2C66">
      <w:pPr>
        <w:pStyle w:val="ListParagraph"/>
        <w:spacing w:after="0"/>
        <w:ind w:left="810"/>
        <w:jc w:val="right"/>
        <w:rPr>
          <w:rFonts w:ascii="Verdana" w:hAnsi="Verdana"/>
          <w:b/>
          <w:sz w:val="22"/>
          <w:szCs w:val="22"/>
        </w:rPr>
      </w:pPr>
    </w:p>
    <w:p w:rsidR="002A2C66" w:rsidRDefault="002A2C66" w:rsidP="002A2C66">
      <w:pPr>
        <w:pStyle w:val="ListParagraph"/>
        <w:spacing w:after="0"/>
        <w:ind w:left="810"/>
        <w:jc w:val="right"/>
        <w:rPr>
          <w:rFonts w:ascii="Verdana" w:hAnsi="Verdana"/>
          <w:b/>
          <w:sz w:val="22"/>
          <w:szCs w:val="22"/>
        </w:rPr>
      </w:pPr>
    </w:p>
    <w:p w:rsidR="002A2C66" w:rsidRDefault="002A2C66" w:rsidP="002A2C66">
      <w:pPr>
        <w:pStyle w:val="ListParagraph"/>
        <w:spacing w:after="0"/>
        <w:ind w:left="810"/>
        <w:jc w:val="right"/>
        <w:rPr>
          <w:rFonts w:ascii="Verdana" w:hAnsi="Verdana"/>
          <w:b/>
          <w:sz w:val="22"/>
          <w:szCs w:val="22"/>
        </w:rPr>
      </w:pPr>
    </w:p>
    <w:p w:rsidR="002A2C66" w:rsidRDefault="002A2C66" w:rsidP="002A2C66">
      <w:pPr>
        <w:pStyle w:val="ListParagraph"/>
        <w:spacing w:after="0"/>
        <w:ind w:left="810"/>
        <w:jc w:val="right"/>
        <w:rPr>
          <w:rFonts w:ascii="Verdana" w:hAnsi="Verdana"/>
          <w:b/>
          <w:sz w:val="22"/>
          <w:szCs w:val="22"/>
        </w:rPr>
      </w:pPr>
    </w:p>
    <w:p w:rsidR="002A2C66" w:rsidRPr="0095098F" w:rsidRDefault="002A2C66" w:rsidP="002A2C66">
      <w:pPr>
        <w:pStyle w:val="ListParagraph"/>
        <w:spacing w:after="0"/>
        <w:ind w:left="810"/>
        <w:jc w:val="right"/>
        <w:rPr>
          <w:rFonts w:ascii="Verdana" w:hAnsi="Verdana"/>
          <w:b/>
          <w:sz w:val="22"/>
          <w:szCs w:val="22"/>
        </w:rPr>
      </w:pPr>
      <w:r w:rsidRPr="0095098F">
        <w:rPr>
          <w:rFonts w:ascii="Verdana" w:hAnsi="Verdana"/>
          <w:b/>
          <w:sz w:val="22"/>
          <w:szCs w:val="22"/>
        </w:rPr>
        <w:lastRenderedPageBreak/>
        <w:t>Annexure – XII</w:t>
      </w:r>
    </w:p>
    <w:p w:rsidR="002A2C66" w:rsidRPr="0095098F" w:rsidRDefault="002A2C66" w:rsidP="002A2C66">
      <w:pPr>
        <w:pStyle w:val="ListParagraph"/>
        <w:spacing w:after="0"/>
        <w:ind w:left="810"/>
        <w:jc w:val="right"/>
        <w:rPr>
          <w:rFonts w:ascii="Verdana" w:hAnsi="Verdana"/>
          <w:b/>
          <w:sz w:val="22"/>
          <w:szCs w:val="22"/>
        </w:rPr>
      </w:pPr>
    </w:p>
    <w:p w:rsidR="002A2C66" w:rsidRPr="0095098F" w:rsidRDefault="002A2C66" w:rsidP="002A2C66">
      <w:pPr>
        <w:pStyle w:val="ListParagraph"/>
        <w:spacing w:after="0" w:line="240" w:lineRule="auto"/>
        <w:ind w:left="810"/>
        <w:jc w:val="both"/>
        <w:rPr>
          <w:rFonts w:ascii="Verdana" w:hAnsi="Verdana"/>
          <w:b/>
          <w:sz w:val="22"/>
          <w:szCs w:val="22"/>
        </w:rPr>
      </w:pPr>
      <w:r w:rsidRPr="0095098F">
        <w:rPr>
          <w:rFonts w:ascii="Verdana" w:hAnsi="Verdana"/>
          <w:b/>
          <w:sz w:val="22"/>
          <w:szCs w:val="22"/>
        </w:rPr>
        <w:t>Checklist of documents for obtaining Consent to Operate (CTO) by the industries/ projects already existing and operating before 14.07.2016 which were not covered previously under consent management as per notification dated 15.04.2014 amended from time to time or earlier but have been covered under consent management first time w.e.f. 14.07.2016 as per revised categorization of industrial sectors for consent management.</w:t>
      </w:r>
    </w:p>
    <w:p w:rsidR="002A2C66" w:rsidRPr="0095098F" w:rsidRDefault="002A2C66" w:rsidP="002A2C66">
      <w:pPr>
        <w:pStyle w:val="ListParagraph"/>
        <w:spacing w:after="0" w:line="240" w:lineRule="auto"/>
        <w:ind w:left="810"/>
        <w:jc w:val="both"/>
        <w:rPr>
          <w:rFonts w:ascii="Verdana" w:hAnsi="Verdana"/>
          <w:b/>
          <w:sz w:val="22"/>
          <w:szCs w:val="22"/>
        </w:rPr>
      </w:pP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Online consent application.</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Power of attorney/authority letter to sign the application.</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Proof or deposit of required and applicable consent fee, as per schedule available on the web-site </w:t>
      </w:r>
      <w:hyperlink r:id="rId8" w:history="1">
        <w:r w:rsidRPr="0095098F">
          <w:rPr>
            <w:rFonts w:eastAsiaTheme="minorHAnsi"/>
            <w:color w:val="000000"/>
            <w:sz w:val="22"/>
            <w:szCs w:val="22"/>
          </w:rPr>
          <w:t>www.hspcb.gov.in</w:t>
        </w:r>
      </w:hyperlink>
      <w:r w:rsidRPr="0095098F">
        <w:rPr>
          <w:rFonts w:ascii="Verdana" w:eastAsiaTheme="minorHAnsi" w:hAnsi="Verdana"/>
          <w:color w:val="000000"/>
          <w:sz w:val="22"/>
          <w:szCs w:val="22"/>
        </w:rPr>
        <w:t xml:space="preserve">. </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Collection and testing fee prescribed by the Board as per schedule available on the web-site of the Board, for </w:t>
      </w:r>
      <w:proofErr w:type="spellStart"/>
      <w:r w:rsidRPr="0095098F">
        <w:rPr>
          <w:rFonts w:ascii="Verdana" w:eastAsiaTheme="minorHAnsi" w:hAnsi="Verdana"/>
          <w:color w:val="000000"/>
          <w:sz w:val="22"/>
          <w:szCs w:val="22"/>
        </w:rPr>
        <w:t>analysing</w:t>
      </w:r>
      <w:proofErr w:type="spellEnd"/>
      <w:r w:rsidRPr="0095098F">
        <w:rPr>
          <w:rFonts w:ascii="Verdana" w:eastAsiaTheme="minorHAnsi" w:hAnsi="Verdana"/>
          <w:color w:val="000000"/>
          <w:sz w:val="22"/>
          <w:szCs w:val="22"/>
        </w:rPr>
        <w:t xml:space="preserve"> the samples of effluent/ Air emissions/ Noise level of DG sets, as applicable, for all sources. (Analysis report of air emissions from all sources including diesel engines of capacity more than 0.8MW (800kW) for power plants and generator sets will be required). </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Copy of balance sheet duly attested by CA or CA certificate w.r.t. capital investment cost of the unit for the preceding year. (Capital investment cost should include the original cost of land, building, plant &amp; machinery without depreciation but with </w:t>
      </w:r>
      <w:proofErr w:type="spellStart"/>
      <w:r w:rsidRPr="0095098F">
        <w:rPr>
          <w:rFonts w:ascii="Verdana" w:eastAsiaTheme="minorHAnsi" w:hAnsi="Verdana"/>
          <w:color w:val="000000"/>
          <w:sz w:val="22"/>
          <w:szCs w:val="22"/>
        </w:rPr>
        <w:t>upto</w:t>
      </w:r>
      <w:proofErr w:type="spellEnd"/>
      <w:r w:rsidRPr="0095098F">
        <w:rPr>
          <w:rFonts w:ascii="Verdana" w:eastAsiaTheme="minorHAnsi" w:hAnsi="Verdana"/>
          <w:color w:val="000000"/>
          <w:sz w:val="22"/>
          <w:szCs w:val="22"/>
        </w:rPr>
        <w:t xml:space="preserve"> date additions. The cost of land and building should be included in the capital investment cost even if it is on lease or rent or mortgage). </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MOA / partnership Deed / Trust Deed (if changed). </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Layout plan showing the details of all manufacturing processes, location of stacks/ chimneys, ETP/ STP, APCM, Hazardous Waste storage and treatment facilities, tube wells, Water supply lines, Effluent drains and final outlets for the disposal of the effluent.</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Permission of the concerned authorities for disposal of the effluent in to sewer/drain etc.</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Detail of land in case the effluent is discharged on land for percolation or for irrigation along with copy of registered agreement made with the land owners in case the land belong to the persons other </w:t>
      </w:r>
      <w:proofErr w:type="spellStart"/>
      <w:r w:rsidRPr="0095098F">
        <w:rPr>
          <w:rFonts w:ascii="Verdana" w:eastAsiaTheme="minorHAnsi" w:hAnsi="Verdana"/>
          <w:color w:val="000000"/>
          <w:sz w:val="22"/>
          <w:szCs w:val="22"/>
        </w:rPr>
        <w:t>then</w:t>
      </w:r>
      <w:proofErr w:type="spellEnd"/>
      <w:r w:rsidRPr="0095098F">
        <w:rPr>
          <w:rFonts w:ascii="Verdana" w:eastAsiaTheme="minorHAnsi" w:hAnsi="Verdana"/>
          <w:color w:val="000000"/>
          <w:sz w:val="22"/>
          <w:szCs w:val="22"/>
        </w:rPr>
        <w:t xml:space="preserve"> the land of the applicant unit.</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Detail of ETP/STP, APCM, </w:t>
      </w:r>
      <w:proofErr w:type="gramStart"/>
      <w:r w:rsidRPr="0095098F">
        <w:rPr>
          <w:rFonts w:ascii="Verdana" w:eastAsiaTheme="minorHAnsi" w:hAnsi="Verdana"/>
          <w:color w:val="000000"/>
          <w:sz w:val="22"/>
          <w:szCs w:val="22"/>
        </w:rPr>
        <w:t>acoustic</w:t>
      </w:r>
      <w:proofErr w:type="gramEnd"/>
      <w:r w:rsidRPr="0095098F">
        <w:rPr>
          <w:rFonts w:ascii="Verdana" w:eastAsiaTheme="minorHAnsi" w:hAnsi="Verdana"/>
          <w:color w:val="000000"/>
          <w:sz w:val="22"/>
          <w:szCs w:val="22"/>
        </w:rPr>
        <w:t xml:space="preserve"> enclosure, Hazardous Waste Management Facilities installed in the unit along with their size, specification and capacity.</w:t>
      </w:r>
    </w:p>
    <w:p w:rsidR="002A2C66" w:rsidRPr="0095098F" w:rsidRDefault="002A2C66" w:rsidP="002A2C66">
      <w:pPr>
        <w:pStyle w:val="Style"/>
        <w:numPr>
          <w:ilvl w:val="0"/>
          <w:numId w:val="4"/>
        </w:numPr>
        <w:tabs>
          <w:tab w:val="left" w:pos="566"/>
          <w:tab w:val="left" w:pos="945"/>
          <w:tab w:val="left" w:pos="1881"/>
          <w:tab w:val="left" w:pos="3331"/>
          <w:tab w:val="left" w:pos="4627"/>
          <w:tab w:val="left" w:pos="5587"/>
          <w:tab w:val="left" w:pos="6004"/>
        </w:tabs>
        <w:ind w:left="900" w:right="76" w:hanging="450"/>
        <w:jc w:val="both"/>
        <w:rPr>
          <w:rFonts w:ascii="Verdana" w:eastAsiaTheme="minorHAnsi" w:hAnsi="Verdana"/>
          <w:color w:val="000000"/>
          <w:sz w:val="22"/>
          <w:szCs w:val="22"/>
        </w:rPr>
      </w:pPr>
      <w:proofErr w:type="spellStart"/>
      <w:r w:rsidRPr="0095098F">
        <w:rPr>
          <w:rFonts w:ascii="Verdana" w:eastAsiaTheme="minorHAnsi" w:hAnsi="Verdana"/>
          <w:color w:val="000000"/>
          <w:sz w:val="22"/>
          <w:szCs w:val="22"/>
        </w:rPr>
        <w:t>Fard</w:t>
      </w:r>
      <w:proofErr w:type="spellEnd"/>
      <w:r w:rsidRPr="0095098F">
        <w:rPr>
          <w:rFonts w:ascii="Verdana" w:eastAsiaTheme="minorHAnsi" w:hAnsi="Verdana"/>
          <w:color w:val="000000"/>
          <w:sz w:val="22"/>
          <w:szCs w:val="22"/>
        </w:rPr>
        <w:t xml:space="preserve"> </w:t>
      </w:r>
      <w:proofErr w:type="spellStart"/>
      <w:r w:rsidRPr="0095098F">
        <w:rPr>
          <w:rFonts w:ascii="Verdana" w:eastAsiaTheme="minorHAnsi" w:hAnsi="Verdana"/>
          <w:color w:val="000000"/>
          <w:sz w:val="22"/>
          <w:szCs w:val="22"/>
        </w:rPr>
        <w:t>Jamabandi</w:t>
      </w:r>
      <w:proofErr w:type="spellEnd"/>
      <w:r w:rsidRPr="0095098F">
        <w:rPr>
          <w:rFonts w:ascii="Verdana" w:eastAsiaTheme="minorHAnsi" w:hAnsi="Verdana"/>
          <w:color w:val="000000"/>
          <w:sz w:val="22"/>
          <w:szCs w:val="22"/>
        </w:rPr>
        <w:t xml:space="preserve"> and </w:t>
      </w:r>
      <w:proofErr w:type="spellStart"/>
      <w:r w:rsidRPr="0095098F">
        <w:rPr>
          <w:rFonts w:ascii="Verdana" w:eastAsiaTheme="minorHAnsi" w:hAnsi="Verdana"/>
          <w:color w:val="000000"/>
          <w:sz w:val="22"/>
          <w:szCs w:val="22"/>
        </w:rPr>
        <w:t>Intkal</w:t>
      </w:r>
      <w:proofErr w:type="spellEnd"/>
      <w:r w:rsidRPr="0095098F">
        <w:rPr>
          <w:rFonts w:ascii="Verdana" w:eastAsiaTheme="minorHAnsi" w:hAnsi="Verdana"/>
          <w:color w:val="000000"/>
          <w:sz w:val="22"/>
          <w:szCs w:val="22"/>
        </w:rPr>
        <w:t xml:space="preserve"> of land of the unit in case unit is located outside approved industrial area/estate. </w:t>
      </w:r>
    </w:p>
    <w:p w:rsidR="002A2C66" w:rsidRPr="0095098F" w:rsidRDefault="002A2C66" w:rsidP="002A2C66">
      <w:pPr>
        <w:pStyle w:val="Style"/>
        <w:numPr>
          <w:ilvl w:val="0"/>
          <w:numId w:val="4"/>
        </w:numPr>
        <w:spacing w:before="4"/>
        <w:ind w:left="900" w:right="51" w:hanging="450"/>
        <w:jc w:val="both"/>
        <w:rPr>
          <w:rFonts w:ascii="Verdana" w:eastAsiaTheme="minorHAnsi" w:hAnsi="Verdana"/>
          <w:color w:val="000000"/>
          <w:sz w:val="22"/>
          <w:szCs w:val="22"/>
        </w:rPr>
      </w:pPr>
      <w:r w:rsidRPr="0095098F">
        <w:rPr>
          <w:rFonts w:ascii="Verdana" w:eastAsiaTheme="minorHAnsi" w:hAnsi="Verdana"/>
          <w:color w:val="000000"/>
          <w:sz w:val="22"/>
          <w:szCs w:val="22"/>
        </w:rPr>
        <w:t>Allotment letter of the plot issued from the concerned authority in case of approved industrial area/estate.</w:t>
      </w:r>
    </w:p>
    <w:p w:rsidR="002A2C66" w:rsidRPr="0095098F" w:rsidRDefault="002A2C66" w:rsidP="002A2C66">
      <w:pPr>
        <w:pStyle w:val="Style"/>
        <w:numPr>
          <w:ilvl w:val="0"/>
          <w:numId w:val="4"/>
        </w:numPr>
        <w:spacing w:before="4"/>
        <w:ind w:left="900" w:right="51" w:hanging="450"/>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Manufacturing process and process Flow Chart. </w:t>
      </w:r>
    </w:p>
    <w:p w:rsidR="002A2C66" w:rsidRPr="0095098F" w:rsidRDefault="002A2C66" w:rsidP="002A2C66">
      <w:pPr>
        <w:pStyle w:val="Style"/>
        <w:numPr>
          <w:ilvl w:val="0"/>
          <w:numId w:val="4"/>
        </w:numPr>
        <w:tabs>
          <w:tab w:val="left" w:pos="567"/>
        </w:tabs>
        <w:ind w:left="900" w:right="51" w:hanging="450"/>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Report of </w:t>
      </w:r>
      <w:proofErr w:type="spellStart"/>
      <w:r w:rsidRPr="0095098F">
        <w:rPr>
          <w:rFonts w:ascii="Verdana" w:eastAsiaTheme="minorHAnsi" w:hAnsi="Verdana"/>
          <w:color w:val="000000"/>
          <w:sz w:val="22"/>
          <w:szCs w:val="22"/>
        </w:rPr>
        <w:t>Tehsildar</w:t>
      </w:r>
      <w:proofErr w:type="spellEnd"/>
      <w:r w:rsidRPr="0095098F">
        <w:rPr>
          <w:rFonts w:ascii="Verdana" w:eastAsiaTheme="minorHAnsi" w:hAnsi="Verdana"/>
          <w:color w:val="000000"/>
          <w:sz w:val="22"/>
          <w:szCs w:val="22"/>
        </w:rPr>
        <w:t xml:space="preserve"> and District Forest Officers regarding </w:t>
      </w:r>
      <w:proofErr w:type="spellStart"/>
      <w:r w:rsidRPr="0095098F">
        <w:rPr>
          <w:rFonts w:ascii="Verdana" w:eastAsiaTheme="minorHAnsi" w:hAnsi="Verdana"/>
          <w:color w:val="000000"/>
          <w:sz w:val="22"/>
          <w:szCs w:val="22"/>
        </w:rPr>
        <w:t>Kisam</w:t>
      </w:r>
      <w:proofErr w:type="spellEnd"/>
      <w:r w:rsidRPr="0095098F">
        <w:rPr>
          <w:rFonts w:ascii="Verdana" w:eastAsiaTheme="minorHAnsi" w:hAnsi="Verdana"/>
          <w:color w:val="000000"/>
          <w:sz w:val="22"/>
          <w:szCs w:val="22"/>
        </w:rPr>
        <w:t xml:space="preserve"> of land through Deputy Commissioner for areas covered under </w:t>
      </w:r>
      <w:proofErr w:type="spellStart"/>
      <w:r w:rsidRPr="0095098F">
        <w:rPr>
          <w:rFonts w:ascii="Verdana" w:eastAsiaTheme="minorHAnsi" w:hAnsi="Verdana"/>
          <w:color w:val="000000"/>
          <w:sz w:val="22"/>
          <w:szCs w:val="22"/>
        </w:rPr>
        <w:t>Aravali</w:t>
      </w:r>
      <w:proofErr w:type="spellEnd"/>
      <w:r w:rsidRPr="0095098F">
        <w:rPr>
          <w:rFonts w:ascii="Verdana" w:eastAsiaTheme="minorHAnsi" w:hAnsi="Verdana"/>
          <w:color w:val="000000"/>
          <w:sz w:val="22"/>
          <w:szCs w:val="22"/>
        </w:rPr>
        <w:t xml:space="preserve"> Notification, if applicable. In case the land falls in the industrial estate / area and HUDA sectors, the report of Regional Officers will be taken regarding applicability of </w:t>
      </w:r>
      <w:proofErr w:type="spellStart"/>
      <w:r w:rsidRPr="0095098F">
        <w:rPr>
          <w:rFonts w:ascii="Verdana" w:eastAsiaTheme="minorHAnsi" w:hAnsi="Verdana"/>
          <w:color w:val="000000"/>
          <w:sz w:val="22"/>
          <w:szCs w:val="22"/>
        </w:rPr>
        <w:t>Aravali</w:t>
      </w:r>
      <w:proofErr w:type="spellEnd"/>
      <w:r w:rsidRPr="0095098F">
        <w:rPr>
          <w:rFonts w:ascii="Verdana" w:eastAsiaTheme="minorHAnsi" w:hAnsi="Verdana"/>
          <w:color w:val="000000"/>
          <w:sz w:val="22"/>
          <w:szCs w:val="22"/>
        </w:rPr>
        <w:t xml:space="preserve"> Notification (only for </w:t>
      </w:r>
      <w:proofErr w:type="spellStart"/>
      <w:r w:rsidRPr="0095098F">
        <w:rPr>
          <w:rFonts w:ascii="Verdana" w:eastAsiaTheme="minorHAnsi" w:hAnsi="Verdana"/>
          <w:color w:val="000000"/>
          <w:sz w:val="22"/>
          <w:szCs w:val="22"/>
        </w:rPr>
        <w:t>Gurugram</w:t>
      </w:r>
      <w:proofErr w:type="spellEnd"/>
      <w:r w:rsidRPr="0095098F">
        <w:rPr>
          <w:rFonts w:ascii="Verdana" w:eastAsiaTheme="minorHAnsi" w:hAnsi="Verdana"/>
          <w:color w:val="000000"/>
          <w:sz w:val="22"/>
          <w:szCs w:val="22"/>
        </w:rPr>
        <w:t xml:space="preserve"> and </w:t>
      </w:r>
      <w:proofErr w:type="spellStart"/>
      <w:r w:rsidRPr="0095098F">
        <w:rPr>
          <w:rFonts w:ascii="Verdana" w:eastAsiaTheme="minorHAnsi" w:hAnsi="Verdana"/>
          <w:color w:val="000000"/>
          <w:sz w:val="22"/>
          <w:szCs w:val="22"/>
        </w:rPr>
        <w:t>Nuh</w:t>
      </w:r>
      <w:proofErr w:type="spellEnd"/>
      <w:r w:rsidRPr="0095098F">
        <w:rPr>
          <w:rFonts w:ascii="Verdana" w:eastAsiaTheme="minorHAnsi" w:hAnsi="Verdana"/>
          <w:color w:val="000000"/>
          <w:sz w:val="22"/>
          <w:szCs w:val="22"/>
        </w:rPr>
        <w:t xml:space="preserve"> District). </w:t>
      </w:r>
    </w:p>
    <w:p w:rsidR="002A2C66" w:rsidRPr="0095098F" w:rsidRDefault="002A2C66" w:rsidP="002A2C66">
      <w:pPr>
        <w:pStyle w:val="Style"/>
        <w:numPr>
          <w:ilvl w:val="0"/>
          <w:numId w:val="4"/>
        </w:numPr>
        <w:tabs>
          <w:tab w:val="left" w:pos="900"/>
        </w:tabs>
        <w:ind w:left="900" w:right="51" w:hanging="450"/>
        <w:jc w:val="both"/>
        <w:rPr>
          <w:rFonts w:ascii="Verdana" w:eastAsiaTheme="minorHAnsi" w:hAnsi="Verdana"/>
          <w:color w:val="000000"/>
          <w:sz w:val="22"/>
          <w:szCs w:val="22"/>
        </w:rPr>
      </w:pPr>
      <w:r w:rsidRPr="0095098F">
        <w:rPr>
          <w:rFonts w:ascii="Verdana" w:eastAsiaTheme="minorHAnsi" w:hAnsi="Verdana"/>
          <w:color w:val="000000"/>
          <w:sz w:val="22"/>
          <w:szCs w:val="22"/>
        </w:rPr>
        <w:lastRenderedPageBreak/>
        <w:t xml:space="preserve">Clearance/ permission in case of the projects falling in the revenue estates covered in the Notification no. 191(E) </w:t>
      </w:r>
      <w:proofErr w:type="spellStart"/>
      <w:proofErr w:type="gramStart"/>
      <w:r w:rsidRPr="0095098F">
        <w:rPr>
          <w:rFonts w:ascii="Verdana" w:eastAsiaTheme="minorHAnsi" w:hAnsi="Verdana"/>
          <w:color w:val="000000"/>
          <w:sz w:val="22"/>
          <w:szCs w:val="22"/>
        </w:rPr>
        <w:t>dt</w:t>
      </w:r>
      <w:proofErr w:type="gramEnd"/>
      <w:r w:rsidRPr="0095098F">
        <w:rPr>
          <w:rFonts w:ascii="Verdana" w:eastAsiaTheme="minorHAnsi" w:hAnsi="Verdana"/>
          <w:color w:val="000000"/>
          <w:sz w:val="22"/>
          <w:szCs w:val="22"/>
        </w:rPr>
        <w:t>.</w:t>
      </w:r>
      <w:proofErr w:type="spellEnd"/>
      <w:r w:rsidRPr="0095098F">
        <w:rPr>
          <w:rFonts w:ascii="Verdana" w:eastAsiaTheme="minorHAnsi" w:hAnsi="Verdana"/>
          <w:color w:val="000000"/>
          <w:sz w:val="22"/>
          <w:szCs w:val="22"/>
        </w:rPr>
        <w:t xml:space="preserve"> 27.08.2010 issued by Ministry of Environment, and Forest, Government of India regarding protected area of </w:t>
      </w:r>
      <w:proofErr w:type="spellStart"/>
      <w:r w:rsidRPr="0095098F">
        <w:rPr>
          <w:rFonts w:ascii="Verdana" w:eastAsiaTheme="minorHAnsi" w:hAnsi="Verdana"/>
          <w:color w:val="000000"/>
          <w:sz w:val="22"/>
          <w:szCs w:val="22"/>
        </w:rPr>
        <w:t>Sultanpur</w:t>
      </w:r>
      <w:proofErr w:type="spellEnd"/>
      <w:r w:rsidRPr="0095098F">
        <w:rPr>
          <w:rFonts w:ascii="Verdana" w:eastAsiaTheme="minorHAnsi" w:hAnsi="Verdana"/>
          <w:color w:val="000000"/>
          <w:sz w:val="22"/>
          <w:szCs w:val="22"/>
        </w:rPr>
        <w:t xml:space="preserve"> National Park in District Gurgaon. </w:t>
      </w:r>
    </w:p>
    <w:p w:rsidR="002A2C66" w:rsidRPr="0095098F" w:rsidRDefault="002A2C66" w:rsidP="002A2C66">
      <w:pPr>
        <w:pStyle w:val="Style"/>
        <w:numPr>
          <w:ilvl w:val="0"/>
          <w:numId w:val="4"/>
        </w:numPr>
        <w:tabs>
          <w:tab w:val="left" w:pos="139"/>
          <w:tab w:val="left" w:pos="610"/>
        </w:tabs>
        <w:spacing w:before="4"/>
        <w:ind w:left="900" w:right="51" w:hanging="450"/>
        <w:jc w:val="both"/>
        <w:rPr>
          <w:rFonts w:ascii="Verdana" w:eastAsiaTheme="minorHAnsi" w:hAnsi="Verdana"/>
          <w:color w:val="000000"/>
          <w:sz w:val="22"/>
          <w:szCs w:val="22"/>
        </w:rPr>
      </w:pPr>
      <w:r w:rsidRPr="0095098F">
        <w:rPr>
          <w:rFonts w:ascii="Verdana" w:eastAsiaTheme="minorHAnsi" w:hAnsi="Verdana"/>
          <w:color w:val="000000"/>
          <w:sz w:val="22"/>
          <w:szCs w:val="22"/>
        </w:rPr>
        <w:t>Change of land use permission/</w:t>
      </w:r>
      <w:r>
        <w:rPr>
          <w:rFonts w:ascii="Verdana" w:eastAsiaTheme="minorHAnsi" w:hAnsi="Verdana"/>
          <w:color w:val="000000"/>
          <w:sz w:val="22"/>
          <w:szCs w:val="22"/>
        </w:rPr>
        <w:t>license/</w:t>
      </w:r>
      <w:r w:rsidRPr="0095098F">
        <w:rPr>
          <w:rFonts w:ascii="Verdana" w:eastAsiaTheme="minorHAnsi" w:hAnsi="Verdana"/>
          <w:color w:val="000000"/>
          <w:sz w:val="22"/>
          <w:szCs w:val="22"/>
        </w:rPr>
        <w:t xml:space="preserve">NOC certificate from the Town &amp; Country Planning Department or respective Municipal or other Authority or </w:t>
      </w:r>
      <w:proofErr w:type="spellStart"/>
      <w:r w:rsidRPr="0095098F">
        <w:rPr>
          <w:rFonts w:ascii="Verdana" w:eastAsiaTheme="minorHAnsi" w:hAnsi="Verdana"/>
          <w:color w:val="000000"/>
          <w:sz w:val="22"/>
          <w:szCs w:val="22"/>
        </w:rPr>
        <w:t>Panchayat</w:t>
      </w:r>
      <w:proofErr w:type="spellEnd"/>
      <w:r w:rsidRPr="0095098F">
        <w:rPr>
          <w:rFonts w:ascii="Verdana" w:eastAsiaTheme="minorHAnsi" w:hAnsi="Verdana"/>
          <w:color w:val="000000"/>
          <w:sz w:val="22"/>
          <w:szCs w:val="22"/>
        </w:rPr>
        <w:t xml:space="preserve"> as the case may be. </w:t>
      </w:r>
    </w:p>
    <w:p w:rsidR="002A2C66" w:rsidRPr="0095098F" w:rsidRDefault="002A2C66" w:rsidP="002A2C66">
      <w:pPr>
        <w:pStyle w:val="Style"/>
        <w:numPr>
          <w:ilvl w:val="0"/>
          <w:numId w:val="4"/>
        </w:numPr>
        <w:tabs>
          <w:tab w:val="left" w:pos="139"/>
          <w:tab w:val="left" w:pos="610"/>
        </w:tabs>
        <w:spacing w:before="4"/>
        <w:ind w:left="900" w:right="51" w:hanging="450"/>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Lease deed/ Rent Agreement duly registered with revenue authorities, in case land is taken on lease/rent. </w:t>
      </w:r>
    </w:p>
    <w:p w:rsidR="002A2C66" w:rsidRPr="0095098F" w:rsidRDefault="002A2C66" w:rsidP="002A2C66">
      <w:pPr>
        <w:pStyle w:val="Style"/>
        <w:numPr>
          <w:ilvl w:val="0"/>
          <w:numId w:val="4"/>
        </w:numPr>
        <w:tabs>
          <w:tab w:val="left" w:pos="945"/>
          <w:tab w:val="left" w:pos="1881"/>
          <w:tab w:val="left" w:pos="3331"/>
          <w:tab w:val="left" w:pos="4627"/>
          <w:tab w:val="left" w:pos="5587"/>
          <w:tab w:val="left" w:pos="6004"/>
        </w:tabs>
        <w:ind w:left="900" w:right="76" w:hanging="450"/>
        <w:jc w:val="both"/>
        <w:rPr>
          <w:rFonts w:ascii="Verdana" w:eastAsiaTheme="minorHAnsi" w:hAnsi="Verdana"/>
          <w:color w:val="000000"/>
          <w:sz w:val="22"/>
          <w:szCs w:val="22"/>
        </w:rPr>
      </w:pPr>
      <w:r w:rsidRPr="0095098F">
        <w:rPr>
          <w:rFonts w:ascii="Verdana" w:eastAsiaTheme="minorHAnsi" w:hAnsi="Verdana"/>
          <w:color w:val="000000"/>
          <w:sz w:val="22"/>
          <w:szCs w:val="22"/>
        </w:rPr>
        <w:t>Site plan of the unit in case it is located outside approved industrial area.</w:t>
      </w:r>
    </w:p>
    <w:p w:rsidR="002A2C66" w:rsidRPr="0095098F" w:rsidRDefault="002A2C66" w:rsidP="002A2C66">
      <w:pPr>
        <w:pStyle w:val="Style"/>
        <w:numPr>
          <w:ilvl w:val="0"/>
          <w:numId w:val="4"/>
        </w:numPr>
        <w:tabs>
          <w:tab w:val="left" w:pos="945"/>
          <w:tab w:val="left" w:pos="1881"/>
          <w:tab w:val="left" w:pos="3331"/>
          <w:tab w:val="left" w:pos="4627"/>
          <w:tab w:val="left" w:pos="5587"/>
          <w:tab w:val="left" w:pos="6004"/>
        </w:tabs>
        <w:ind w:left="900" w:right="76" w:hanging="450"/>
        <w:jc w:val="both"/>
        <w:rPr>
          <w:rFonts w:ascii="Verdana" w:eastAsiaTheme="minorHAnsi" w:hAnsi="Verdana"/>
          <w:color w:val="000000"/>
          <w:sz w:val="22"/>
          <w:szCs w:val="22"/>
        </w:rPr>
      </w:pPr>
      <w:r w:rsidRPr="0095098F">
        <w:rPr>
          <w:rFonts w:ascii="Verdana" w:eastAsiaTheme="minorHAnsi" w:hAnsi="Verdana"/>
          <w:color w:val="000000"/>
          <w:sz w:val="22"/>
          <w:szCs w:val="22"/>
        </w:rPr>
        <w:t>Environment Statement in Form V for the financial year ending on 31st March. (</w:t>
      </w:r>
      <w:proofErr w:type="gramStart"/>
      <w:r w:rsidRPr="0095098F">
        <w:rPr>
          <w:rFonts w:ascii="Verdana" w:eastAsiaTheme="minorHAnsi" w:hAnsi="Verdana"/>
          <w:color w:val="000000"/>
          <w:sz w:val="22"/>
          <w:szCs w:val="22"/>
        </w:rPr>
        <w:t>required</w:t>
      </w:r>
      <w:proofErr w:type="gramEnd"/>
      <w:r w:rsidRPr="0095098F">
        <w:rPr>
          <w:rFonts w:ascii="Verdana" w:eastAsiaTheme="minorHAnsi" w:hAnsi="Verdana"/>
          <w:color w:val="000000"/>
          <w:sz w:val="22"/>
          <w:szCs w:val="22"/>
        </w:rPr>
        <w:t xml:space="preserve"> in compliance of Rule 14 of EP Rules, 1986).</w:t>
      </w:r>
    </w:p>
    <w:p w:rsidR="002A2C66" w:rsidRPr="0095098F" w:rsidRDefault="002A2C66" w:rsidP="002A2C66">
      <w:pPr>
        <w:pStyle w:val="Style"/>
        <w:numPr>
          <w:ilvl w:val="0"/>
          <w:numId w:val="4"/>
        </w:numPr>
        <w:tabs>
          <w:tab w:val="left" w:pos="945"/>
          <w:tab w:val="left" w:pos="1881"/>
          <w:tab w:val="left" w:pos="3331"/>
          <w:tab w:val="left" w:pos="4627"/>
          <w:tab w:val="left" w:pos="5587"/>
          <w:tab w:val="left" w:pos="6004"/>
        </w:tabs>
        <w:ind w:left="900" w:right="76" w:hanging="450"/>
        <w:jc w:val="both"/>
        <w:rPr>
          <w:rFonts w:ascii="Verdana" w:eastAsiaTheme="minorHAnsi" w:hAnsi="Verdana"/>
          <w:color w:val="000000"/>
          <w:sz w:val="22"/>
          <w:szCs w:val="22"/>
        </w:rPr>
      </w:pPr>
      <w:r w:rsidRPr="0095098F">
        <w:rPr>
          <w:rFonts w:ascii="Verdana" w:eastAsiaTheme="minorHAnsi" w:hAnsi="Verdana"/>
          <w:color w:val="000000"/>
          <w:sz w:val="22"/>
          <w:szCs w:val="22"/>
        </w:rPr>
        <w:t xml:space="preserve">Proof of submission of updated safety audit report duly audited with the help of an expert, annually and up to date onsite emergency plan </w:t>
      </w:r>
      <w:proofErr w:type="spellStart"/>
      <w:r w:rsidRPr="0095098F">
        <w:rPr>
          <w:rFonts w:ascii="Verdana" w:eastAsiaTheme="minorHAnsi" w:hAnsi="Verdana"/>
          <w:color w:val="000000"/>
          <w:sz w:val="22"/>
          <w:szCs w:val="22"/>
        </w:rPr>
        <w:t>alongwith</w:t>
      </w:r>
      <w:proofErr w:type="spellEnd"/>
      <w:r w:rsidRPr="0095098F">
        <w:rPr>
          <w:rFonts w:ascii="Verdana" w:eastAsiaTheme="minorHAnsi" w:hAnsi="Verdana"/>
          <w:color w:val="000000"/>
          <w:sz w:val="22"/>
          <w:szCs w:val="22"/>
        </w:rPr>
        <w:t xml:space="preserve"> report of the mock drill of the same to Chief Inspector of Factories </w:t>
      </w:r>
      <w:proofErr w:type="spellStart"/>
      <w:r w:rsidRPr="0095098F">
        <w:rPr>
          <w:rFonts w:ascii="Verdana" w:eastAsiaTheme="minorHAnsi" w:hAnsi="Verdana"/>
          <w:color w:val="000000"/>
          <w:sz w:val="22"/>
          <w:szCs w:val="22"/>
        </w:rPr>
        <w:t>alongwith</w:t>
      </w:r>
      <w:proofErr w:type="spellEnd"/>
      <w:r w:rsidRPr="0095098F">
        <w:rPr>
          <w:rFonts w:ascii="Verdana" w:eastAsiaTheme="minorHAnsi" w:hAnsi="Verdana"/>
          <w:color w:val="000000"/>
          <w:sz w:val="22"/>
          <w:szCs w:val="22"/>
        </w:rPr>
        <w:t xml:space="preserve"> copy of the same, in case of industries/projects/establishments handling Hazardous Chemicals having threshold quantities mentioned in schedule II and III of MSIHC, Rules, 1989 and covered under rule 10 &amp; 13 of these Rules. (Required as per instructions of MOEF &amp; CC issued vide letter No. 14-7(382)/2010-HSMD dated 09.03.2016). </w:t>
      </w:r>
    </w:p>
    <w:p w:rsidR="00D04E17" w:rsidRDefault="002A2C66" w:rsidP="004666E3">
      <w:pPr>
        <w:pStyle w:val="Style"/>
        <w:numPr>
          <w:ilvl w:val="0"/>
          <w:numId w:val="4"/>
        </w:numPr>
        <w:tabs>
          <w:tab w:val="left" w:pos="945"/>
          <w:tab w:val="left" w:pos="1881"/>
          <w:tab w:val="left" w:pos="3331"/>
          <w:tab w:val="left" w:pos="4627"/>
          <w:tab w:val="left" w:pos="5587"/>
          <w:tab w:val="left" w:pos="6004"/>
        </w:tabs>
        <w:ind w:left="900" w:right="76" w:hanging="450"/>
        <w:jc w:val="both"/>
      </w:pPr>
      <w:r w:rsidRPr="004666E3">
        <w:rPr>
          <w:rFonts w:ascii="Verdana" w:eastAsiaTheme="minorHAnsi" w:hAnsi="Verdana"/>
          <w:color w:val="000000"/>
          <w:sz w:val="22"/>
          <w:szCs w:val="22"/>
        </w:rPr>
        <w:t xml:space="preserve">Copy of logbook for last 03 months maintained for operation of ETP/STP/APCM for the record of energy and chemical consumption, quantity of effluent at inlet and outlet of ETP/STP supported with readings of magnetic flow meters </w:t>
      </w:r>
      <w:proofErr w:type="spellStart"/>
      <w:r w:rsidRPr="004666E3">
        <w:rPr>
          <w:rFonts w:ascii="Verdana" w:eastAsiaTheme="minorHAnsi" w:hAnsi="Verdana"/>
          <w:color w:val="000000"/>
          <w:sz w:val="22"/>
          <w:szCs w:val="22"/>
        </w:rPr>
        <w:t>alongwith</w:t>
      </w:r>
      <w:proofErr w:type="spellEnd"/>
      <w:r w:rsidRPr="004666E3">
        <w:rPr>
          <w:rFonts w:ascii="Verdana" w:eastAsiaTheme="minorHAnsi" w:hAnsi="Verdana"/>
          <w:color w:val="000000"/>
          <w:sz w:val="22"/>
          <w:szCs w:val="22"/>
        </w:rPr>
        <w:t xml:space="preserve"> quantity of treated effluent recycled/reused in the process, utilized in the premises and discharged, mode of disposal</w:t>
      </w:r>
      <w:r w:rsidRPr="004666E3">
        <w:rPr>
          <w:rFonts w:ascii="Verdana" w:hAnsi="Verdana"/>
          <w:color w:val="261D27"/>
          <w:w w:val="116"/>
          <w:sz w:val="22"/>
          <w:szCs w:val="22"/>
        </w:rPr>
        <w:t>.</w:t>
      </w:r>
      <w:bookmarkStart w:id="0" w:name="_GoBack"/>
      <w:bookmarkEnd w:id="0"/>
    </w:p>
    <w:sectPr w:rsidR="00D04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26B9"/>
    <w:multiLevelType w:val="hybridMultilevel"/>
    <w:tmpl w:val="6130DAA8"/>
    <w:lvl w:ilvl="0" w:tplc="113A4254">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0743184"/>
    <w:multiLevelType w:val="hybridMultilevel"/>
    <w:tmpl w:val="B0309B1E"/>
    <w:lvl w:ilvl="0" w:tplc="3C4E0D20">
      <w:start w:val="1"/>
      <w:numFmt w:val="decimal"/>
      <w:lvlText w:val="%1."/>
      <w:lvlJc w:val="left"/>
      <w:pPr>
        <w:ind w:left="990" w:hanging="360"/>
      </w:pPr>
      <w:rPr>
        <w:rFonts w:ascii="Arial" w:hAnsi="Arial" w:cs="Arial" w:hint="default"/>
        <w:color w:val="2923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6AE766C5"/>
    <w:multiLevelType w:val="hybridMultilevel"/>
    <w:tmpl w:val="C27825CC"/>
    <w:lvl w:ilvl="0" w:tplc="C296AA42">
      <w:start w:val="1"/>
      <w:numFmt w:val="decimal"/>
      <w:lvlText w:val="%1."/>
      <w:lvlJc w:val="left"/>
      <w:pPr>
        <w:ind w:left="1260" w:hanging="360"/>
      </w:pPr>
      <w:rPr>
        <w:rFonts w:ascii="Arial" w:hAnsi="Arial" w:cs="Arial" w:hint="default"/>
        <w:color w:val="292328"/>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6C5E1068"/>
    <w:multiLevelType w:val="hybridMultilevel"/>
    <w:tmpl w:val="64769E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DD"/>
    <w:rsid w:val="002A2C66"/>
    <w:rsid w:val="004666E3"/>
    <w:rsid w:val="00D04E17"/>
    <w:rsid w:val="00F97F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heading 4,Report Para,Paragraph,List Paragraph (numbered (a)),List Paragraph1,Resume Title,List Paragraph Char Char,Bullet 1,Number_1,SGLText List Paragraph,new,lp1,Normal Sentence,Colorful List - Accent 11,ListPar1"/>
    <w:basedOn w:val="Normal"/>
    <w:link w:val="ListParagraphChar"/>
    <w:uiPriority w:val="34"/>
    <w:qFormat/>
    <w:rsid w:val="00F97FDD"/>
    <w:pPr>
      <w:ind w:left="720"/>
      <w:contextualSpacing/>
    </w:pPr>
    <w:rPr>
      <w:rFonts w:ascii="Arial" w:hAnsi="Arial" w:cs="Arial"/>
      <w:color w:val="000000"/>
      <w:sz w:val="20"/>
      <w:szCs w:val="20"/>
      <w:lang w:val="en-US"/>
    </w:rPr>
  </w:style>
  <w:style w:type="character" w:customStyle="1" w:styleId="ListParagraphChar">
    <w:name w:val="List Paragraph Char"/>
    <w:aliases w:val="Citation List Char,heading 4 Char,Report Para Char,Paragraph Char,List Paragraph (numbered (a)) Char,List Paragraph1 Char,Resume Title Char,List Paragraph Char Char Char,Bullet 1 Char,Number_1 Char,SGLText List Paragraph Char"/>
    <w:basedOn w:val="DefaultParagraphFont"/>
    <w:link w:val="ListParagraph"/>
    <w:uiPriority w:val="34"/>
    <w:qFormat/>
    <w:rsid w:val="00F97FDD"/>
    <w:rPr>
      <w:rFonts w:ascii="Arial" w:hAnsi="Arial" w:cs="Arial"/>
      <w:color w:val="000000"/>
      <w:sz w:val="20"/>
      <w:szCs w:val="20"/>
      <w:lang w:val="en-US"/>
    </w:rPr>
  </w:style>
  <w:style w:type="paragraph" w:customStyle="1" w:styleId="Style">
    <w:name w:val="Style"/>
    <w:rsid w:val="00F97FDD"/>
    <w:pPr>
      <w:widowControl w:val="0"/>
      <w:autoSpaceDE w:val="0"/>
      <w:autoSpaceDN w:val="0"/>
      <w:adjustRightInd w:val="0"/>
      <w:spacing w:after="0" w:line="240" w:lineRule="auto"/>
    </w:pPr>
    <w:rPr>
      <w:rFonts w:ascii="Arial" w:eastAsiaTheme="minorEastAsia"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heading 4,Report Para,Paragraph,List Paragraph (numbered (a)),List Paragraph1,Resume Title,List Paragraph Char Char,Bullet 1,Number_1,SGLText List Paragraph,new,lp1,Normal Sentence,Colorful List - Accent 11,ListPar1"/>
    <w:basedOn w:val="Normal"/>
    <w:link w:val="ListParagraphChar"/>
    <w:uiPriority w:val="34"/>
    <w:qFormat/>
    <w:rsid w:val="00F97FDD"/>
    <w:pPr>
      <w:ind w:left="720"/>
      <w:contextualSpacing/>
    </w:pPr>
    <w:rPr>
      <w:rFonts w:ascii="Arial" w:hAnsi="Arial" w:cs="Arial"/>
      <w:color w:val="000000"/>
      <w:sz w:val="20"/>
      <w:szCs w:val="20"/>
      <w:lang w:val="en-US"/>
    </w:rPr>
  </w:style>
  <w:style w:type="character" w:customStyle="1" w:styleId="ListParagraphChar">
    <w:name w:val="List Paragraph Char"/>
    <w:aliases w:val="Citation List Char,heading 4 Char,Report Para Char,Paragraph Char,List Paragraph (numbered (a)) Char,List Paragraph1 Char,Resume Title Char,List Paragraph Char Char Char,Bullet 1 Char,Number_1 Char,SGLText List Paragraph Char"/>
    <w:basedOn w:val="DefaultParagraphFont"/>
    <w:link w:val="ListParagraph"/>
    <w:uiPriority w:val="34"/>
    <w:qFormat/>
    <w:rsid w:val="00F97FDD"/>
    <w:rPr>
      <w:rFonts w:ascii="Arial" w:hAnsi="Arial" w:cs="Arial"/>
      <w:color w:val="000000"/>
      <w:sz w:val="20"/>
      <w:szCs w:val="20"/>
      <w:lang w:val="en-US"/>
    </w:rPr>
  </w:style>
  <w:style w:type="paragraph" w:customStyle="1" w:styleId="Style">
    <w:name w:val="Style"/>
    <w:rsid w:val="00F97FDD"/>
    <w:pPr>
      <w:widowControl w:val="0"/>
      <w:autoSpaceDE w:val="0"/>
      <w:autoSpaceDN w:val="0"/>
      <w:adjustRightInd w:val="0"/>
      <w:spacing w:after="0" w:line="240" w:lineRule="auto"/>
    </w:pPr>
    <w:rPr>
      <w:rFonts w:ascii="Arial" w:eastAsiaTheme="minorEastAsia"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pcb.gov.in" TargetMode="External"/><Relationship Id="rId3" Type="http://schemas.microsoft.com/office/2007/relationships/stylesWithEffects" Target="stylesWithEffects.xml"/><Relationship Id="rId7" Type="http://schemas.openxmlformats.org/officeDocument/2006/relationships/hyperlink" Target="http://www.hspcb.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pcb.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1449</Words>
  <Characters>8265</Characters>
  <Application>Microsoft Office Word</Application>
  <DocSecurity>0</DocSecurity>
  <Lines>68</Lines>
  <Paragraphs>19</Paragraphs>
  <ScaleCrop>false</ScaleCrop>
  <Company>Hewlett-Packard Company</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Parveen Kaushik</dc:creator>
  <cp:lastModifiedBy>Parveen Kaushik</cp:lastModifiedBy>
  <cp:revision>4</cp:revision>
  <dcterms:created xsi:type="dcterms:W3CDTF">2019-08-22T06:43:00Z</dcterms:created>
  <dcterms:modified xsi:type="dcterms:W3CDTF">2019-08-22T06:50:00Z</dcterms:modified>
</cp:coreProperties>
</file>